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617</w:t>
      </w:r>
    </w:p>
    <w:p>
      <w:r>
        <w:t>Bundesgericht (BGE), 2016-01-01, FR</w:t>
      </w:r>
    </w:p>
    <w:p>
      <w:r>
        <w:rPr>
          <w:b/>
        </w:rPr>
        <w:t xml:space="preserve">Quelle: </w:t>
      </w:r>
      <w:r>
        <w:t>https://mcp.opencaselaw.ch/entscheid/bge_142 III 617</w:t>
      </w:r>
    </w:p>
    <w:p>
      <w:r>
        <w:t>FR: ATF 142 III 617</w:t>
      </w:r>
    </w:p>
    <w:p>
      <w:r>
        <w:t>IT: DTF 142 III 617</w:t>
      </w:r>
    </w:p>
    <w:p>
      <w:pPr>
        <w:pStyle w:val="Heading2"/>
      </w:pPr>
      <w:r>
        <w:t>Regeste</w:t>
      </w:r>
    </w:p>
    <w:p>
      <w:r>
        <w:t>Regeste Art. 176 Abs. 3 ZGB; Streit um die alleinige oder alternierende Obhut im Eheschutzprozess. Zum Obhutsbegriff im revidierten Sorgerecht (E. 3.2.2). Ob eine alternierende Obhut möglich und mit dem Wohl des Kindes vereinbar ist, hat der Richter anhand der Umstände des konkreten Einzelfalls zu prüfen (E. 3.2.3). Zu den verschiedenen Kriterien, auf die es bei dieser Beurteilung ankommt (E. 3.2.3). Fällt eine alternierende Obhut ausser Betracht oder wird sie verworfen, ist zusätzlich die Fähigkeit eines jeden Elternteils zu würdigen, den Kontakt zwischen dem Kind und dem andern Elternteil zu fördern (E. 3.2.4). Zur Prüfungsbefugnis des Bundesgerichts (E. 3.2.5).</w:t>
      </w:r>
    </w:p>
    <w:p>
      <w:pPr>
        <w:pStyle w:val="Heading2"/>
      </w:pPr>
      <w:r>
        <w:t>Erwägungen</w:t>
      </w:r>
    </w:p>
    <w:p>
      <w:r>
        <w:rPr>
          <w:b/>
        </w:rPr>
        <w:t>E. 3</w:t>
      </w:r>
    </w:p>
    <w:p>
      <w:r>
        <w:t>(...) 3.2.1 Il est constant que les nouvelles dispositions du Code civil relatives à l'autorité parentale du 21 juin 2013, entrées en vigueur le 1 er juillet 2014 (RO 2014 357), sont applicables au cas d'espèce, indépendamment du fait que le dépôt de la requête de mesures protectrices de l'union conjugale par le recourant soit intervenu avant l'entrée en vigueur de celles-ci (cf. arrêt 5A_847/2015 du 2 mars 2016 consid. 5.2.1 et les arrêts cités). 3.2.2 Aux termes de l' art. 176 al. 3 CC , relatif à l'organisation de la vie séparée, lorsque les époux ont des enfants mineurs, le juge ordonne les mesures nécessaires d'après les dispositions sur les effets de la filiation (cf. art. 273 ss CC ). Cette réglementation porte notamment sur la garde de l'enfant, les relations personnelles, la participation de chaque parent à la prise en charge de l'enfant et la contribution d'entretien. Dans le nouveau droit, la notion de "droit de garde" ( Obhutsrecht ) - qui se définissait auparavant comme la compétence de déterminer le lieu de résidence et le mode d'encadrement de l'enfant ( ATF 128 III 9 consid. 4a) - BGE 142 III 617 S. 620 a été remplacée par le "droit de déterminer le lieu de résidence de l'enfant" ( Recht, den Aufenthaltsort des Kindes zu bestimmen ), qui constitue une composante à part entière de l'autorité parentale (cf. art. 301a al. 1 CC ). La notion même du droit de garde étant abandonnée au profit de celle du droit de déterminer le lieu de résidence de l'enfant, le générique de "garde" ( Obhut ) se réduit désormais à la seule dimension de la "garde de fait" ( faktische Obhut ), qui se traduit par l'encadrement quotidien de l'enfant et par l'exercice des droits et des devoirs liés aux soins et à l'éducation courante (MEIER/STETTLER, Droit de la filiation, 5 e éd. 2014, n. 462 p. 308 et n. 466 p. 311; SCHWENZER/COTTIER, in Basler Kommentar, Zivilgesetzbuch, vol. I, 5 e éd. 2014, n° 4 ad art. 298 CC p. 1634; DE WECK-IMMELÉ, in Droit matrimonial, 2016, n° 195 ad art. 176 CC ). 3.2.3 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(arrêts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 5A_527/2015 du 6 octobre 2015 consid. 4). Le bien de l'enfant constitue en effet la règle fondamentale en matière d'attribution des droits parentaux ( ATF 141 III 328 consid. 5.4 p. 340), les intérêts des parents devant être relégués au second plan ( ATF 131 III 209 consid. 5 p. 212).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(cf. JOSEPH SALZGEBER, Die Diskussion um die Einführung des Wechselmodells als Regelfall der Kindesbetreuung getrennt lebender Eltern aus Sicht der Psychologie, Zeitschrift für das gesamte Familienrecht [FamRZ] 2015 p. 2018 ss). Le juge doit en effet évaluer, sur la base de la situation de fait actuelle ainsi que de celle qui prévalait avant la séparation des parties, si l'instauration d'une garde alternée est effectivement à même de préserver le bien de l'enfant. BGE 142 III 617 S. 621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arrêts 5A_46/2015 du 26 mai 2015 consid. 4.4.2 et 4.4.5; 5A_345/2014 du 4 août 2014 consid. 4.2). Il faut également prendre en considération le souhait de l'enfant s'agissant de sa propre prise en charge, quand bien même il ne disposerait pas de la capacité de discernement à cet égard. Sur ce point, il appartiendra au juge du fait, qui établit les faits d'office ( art. 296 al. 1 CPC et art. 314 al. 1 en relation avec l' art. 446 CC ),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BGE 142 III 617 S. 622 déjà scolarisé ou qu'un certain éloignement géographique entre les domiciles respectifs des parents nécessite une plus grande organisation. 3.2.4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3.2.5 Pour apprécier ces critères, le juge du fait, qui connaît le mieux les parties et le milieu dans lequel vit l'enfant, dispose d'un large pouvoir d'appréciation ( ATF 115 II 317 consid. 2 et 3 p. 319; arrêts 5A_848/2014 du 4 mai 2015 consid. 2.1.2; 5A_976/2014 précité consid. 2.4; 5A_266/2015 précité consid. 4.2.2.2).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p. 99 et les références).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